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righ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bookmarkStart w:colFirst="0" w:colLast="0" w:name="_g39iu8fclyzn" w:id="0"/>
      <w:bookmarkEnd w:id="0"/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Қосымша №2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righ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ғылыми атақтарды беру ережелері 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righ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(қауымдастырылған профессор (доцент), профессор)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righ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Халықаралық рецензияланған ғылыми журналдардағы мақалалар тізімі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Үміткердің тегі, аты, әкесінің аты: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Капышев Ардак Каиржанович (Kapyshev, Ardak K)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Автордың идентификаторы (бар болса): -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Scopus Author ID: </w:t>
      </w:r>
      <w:hyperlink r:id="rId6">
        <w:r w:rsidDel="00000000" w:rsidR="00000000" w:rsidRPr="00000000">
          <w:rPr>
            <w:rFonts w:ascii="Times New Roman" w:cs="Times New Roman" w:eastAsia="Times New Roman" w:hAnsi="Times New Roman"/>
            <w:b w:val="0"/>
            <w:i w:val="0"/>
            <w:smallCaps w:val="0"/>
            <w:strike w:val="0"/>
            <w:color w:val="0000ff"/>
            <w:sz w:val="24"/>
            <w:szCs w:val="24"/>
            <w:u w:val="single"/>
            <w:shd w:fill="auto" w:val="clear"/>
            <w:vertAlign w:val="baseline"/>
            <w:rtl w:val="0"/>
          </w:rPr>
          <w:t xml:space="preserve">https://www.scopus.com/authid/detail.uri?authorId=56127997800</w:t>
        </w:r>
      </w:hyperlink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Web of Science Researcher ID: -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highlight w:val="white"/>
          <w:u w:val="none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ORCID: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</w:t>
      </w:r>
      <w:hyperlink r:id="rId7">
        <w:r w:rsidDel="00000000" w:rsidR="00000000" w:rsidRPr="00000000">
          <w:rPr>
            <w:rFonts w:ascii="Times New Roman" w:cs="Times New Roman" w:eastAsia="Times New Roman" w:hAnsi="Times New Roman"/>
            <w:b w:val="0"/>
            <w:i w:val="0"/>
            <w:smallCaps w:val="0"/>
            <w:strike w:val="0"/>
            <w:color w:val="0000ff"/>
            <w:sz w:val="24"/>
            <w:szCs w:val="24"/>
            <w:highlight w:val="white"/>
            <w:u w:val="single"/>
            <w:vertAlign w:val="baseline"/>
            <w:rtl w:val="0"/>
          </w:rPr>
          <w:t xml:space="preserve">https://orcid.org/0000-0002-0561-7953</w:t>
        </w:r>
      </w:hyperlink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highlight w:val="white"/>
          <w:u w:val="none"/>
          <w:vertAlign w:val="baseline"/>
          <w:rtl w:val="0"/>
        </w:rPr>
        <w:t xml:space="preserve"> </w:t>
      </w:r>
    </w:p>
    <w:tbl>
      <w:tblPr>
        <w:tblStyle w:val="Table1"/>
        <w:tblW w:w="14938.000000000002" w:type="dxa"/>
        <w:jc w:val="left"/>
        <w:tblInd w:w="-1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553"/>
        <w:gridCol w:w="2211"/>
        <w:gridCol w:w="1333"/>
        <w:gridCol w:w="1452"/>
        <w:gridCol w:w="1923"/>
        <w:gridCol w:w="1522"/>
        <w:gridCol w:w="1660"/>
        <w:gridCol w:w="2209"/>
        <w:gridCol w:w="2075"/>
        <w:tblGridChange w:id="0">
          <w:tblGrid>
            <w:gridCol w:w="553"/>
            <w:gridCol w:w="2211"/>
            <w:gridCol w:w="1333"/>
            <w:gridCol w:w="1452"/>
            <w:gridCol w:w="1923"/>
            <w:gridCol w:w="1522"/>
            <w:gridCol w:w="1660"/>
            <w:gridCol w:w="2209"/>
            <w:gridCol w:w="2075"/>
          </w:tblGrid>
        </w:tblGridChange>
      </w:tblGrid>
      <w:tr>
        <w:trPr>
          <w:cantSplit w:val="0"/>
          <w:trHeight w:val="29" w:hRule="atLeast"/>
          <w:tblHeader w:val="0"/>
        </w:trPr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№</w:t>
            </w:r>
          </w:p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Жарияланым атауы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Жариялау түрі (мақала, шолу және т. б.)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Журналдың атауы, жарияланған жылы (мәліметтер қорына сәйкес),DOI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Журналдың импакт-факторы, квартилі және ғылым саласы* Journal Citation Reports (Журнал Цитэйшен Репортс) мәліметтері бойынша жарияланым жылы үшін* 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Web of Science Core Collection (Веб оф Сайенс Кор Коллекшн) мәліметтер базасындағы индексі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Scopus (Скопус)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мәліметтері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бойынша жарияланған жыл үшін журналдың CiteScore (СайтСкор), процентиль және ғылым саласы* 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Авторлардың аты-жөні (үміткердің аты-жөнінің астын сызу) 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3" w:right="111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Үміткердің рөлі (бірлескен автор, бірінші автор немесе автор-корреспон</w:t>
            </w:r>
          </w:p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0" w:right="111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дент)</w:t>
            </w:r>
          </w:p>
        </w:tc>
      </w:tr>
      <w:tr>
        <w:trPr>
          <w:cantSplit w:val="0"/>
          <w:trHeight w:val="29" w:hRule="atLeast"/>
          <w:tblHeader w:val="0"/>
        </w:trPr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Kazakhs and Siberian Cossacks in the Steppe Region: тhe Experience of Interethnic Interaction</w:t>
            </w:r>
          </w:p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Статья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Published in the USA Bylye Gody Has been issued since 2006. E-ISSN: 2310-0028 2024. 19(2): 582-592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hyperlink r:id="rId8">
              <w:r w:rsidDel="00000000" w:rsidR="00000000" w:rsidRPr="00000000">
                <w:rPr>
                  <w:rFonts w:ascii="Times New Roman" w:cs="Times New Roman" w:eastAsia="Times New Roman" w:hAnsi="Times New Roman"/>
                  <w:b w:val="0"/>
                  <w:i w:val="0"/>
                  <w:smallCaps w:val="0"/>
                  <w:strike w:val="0"/>
                  <w:color w:val="0000ff"/>
                  <w:sz w:val="24"/>
                  <w:szCs w:val="24"/>
                  <w:u w:val="single"/>
                  <w:shd w:fill="auto" w:val="clear"/>
                  <w:vertAlign w:val="baseline"/>
                  <w:rtl w:val="0"/>
                </w:rPr>
                <w:t xml:space="preserve">https://doi:10.13187/bg.2024.2.582</w:t>
              </w:r>
            </w:hyperlink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</w:t>
            </w:r>
          </w:p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hyperlink r:id="rId9">
              <w:r w:rsidDel="00000000" w:rsidR="00000000" w:rsidRPr="00000000">
                <w:rPr>
                  <w:rFonts w:ascii="Times New Roman" w:cs="Times New Roman" w:eastAsia="Times New Roman" w:hAnsi="Times New Roman"/>
                  <w:b w:val="0"/>
                  <w:i w:val="0"/>
                  <w:smallCaps w:val="0"/>
                  <w:strike w:val="0"/>
                  <w:color w:val="0000ff"/>
                  <w:sz w:val="24"/>
                  <w:szCs w:val="24"/>
                  <w:u w:val="single"/>
                  <w:shd w:fill="auto" w:val="clear"/>
                  <w:vertAlign w:val="baseline"/>
                  <w:rtl w:val="0"/>
                </w:rPr>
                <w:t xml:space="preserve">https://bg.cherkasgu.press/journals_n/1717235708.pdf</w:t>
              </w:r>
            </w:hyperlink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-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_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0" w:right="112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CiteScore (СайтСкор) –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1,2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0" w:right="112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процентиль за 2023 год по областям науки:  </w:t>
            </w:r>
          </w:p>
          <w:tbl>
            <w:tblPr>
              <w:tblStyle w:val="Table2"/>
              <w:tblW w:w="6458.000000000001" w:type="dxa"/>
              <w:jc w:val="left"/>
              <w:tblLayout w:type="fixed"/>
              <w:tblLook w:val="0000"/>
            </w:tblPr>
            <w:tblGrid>
              <w:gridCol w:w="4755"/>
              <w:gridCol w:w="1182"/>
              <w:gridCol w:w="521"/>
              <w:tblGridChange w:id="0">
                <w:tblGrid>
                  <w:gridCol w:w="4755"/>
                  <w:gridCol w:w="1182"/>
                  <w:gridCol w:w="521"/>
                </w:tblGrid>
              </w:tblGridChange>
            </w:tblGrid>
            <w:tr>
              <w:trPr>
                <w:cantSplit w:val="0"/>
                <w:trHeight w:val="269" w:hRule="atLeast"/>
                <w:tblHeader w:val="0"/>
              </w:trPr>
              <w:tc>
                <w:tcPr>
                  <w:tcBorders>
                    <w:top w:color="000000" w:space="0" w:sz="0" w:val="nil"/>
                    <w:left w:color="000000" w:space="0" w:sz="0" w:val="nil"/>
                    <w:bottom w:color="000000" w:space="0" w:sz="0" w:val="nil"/>
                    <w:right w:color="000000" w:space="0" w:sz="0" w:val="nil"/>
                  </w:tcBorders>
                  <w:shd w:fill="ffffff" w:val="clear"/>
                  <w:vAlign w:val="top"/>
                </w:tcPr>
                <w:p w:rsidR="00000000" w:rsidDel="00000000" w:rsidP="00000000" w:rsidRDefault="00000000" w:rsidRPr="00000000" w14:paraId="00000022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23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- Arts and </w:t>
                  </w:r>
                </w:p>
                <w:p w:rsidR="00000000" w:rsidDel="00000000" w:rsidP="00000000" w:rsidRDefault="00000000" w:rsidRPr="00000000" w14:paraId="00000024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Humanities</w:t>
                  </w:r>
                </w:p>
                <w:p w:rsidR="00000000" w:rsidDel="00000000" w:rsidP="00000000" w:rsidRDefault="00000000" w:rsidRPr="00000000" w14:paraId="00000025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History – 87.</w:t>
                  </w:r>
                </w:p>
                <w:p w:rsidR="00000000" w:rsidDel="00000000" w:rsidP="00000000" w:rsidRDefault="00000000" w:rsidRPr="00000000" w14:paraId="00000026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27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0" w:val="nil"/>
                    <w:left w:color="000000" w:space="0" w:sz="0" w:val="nil"/>
                    <w:bottom w:color="000000" w:space="0" w:sz="0" w:val="nil"/>
                    <w:right w:color="000000" w:space="0" w:sz="0" w:val="nil"/>
                  </w:tcBorders>
                  <w:shd w:fill="ffffff" w:val="clear"/>
                  <w:vAlign w:val="top"/>
                </w:tcPr>
                <w:p w:rsidR="00000000" w:rsidDel="00000000" w:rsidP="00000000" w:rsidRDefault="00000000" w:rsidRPr="00000000" w14:paraId="00000028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right"/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2e2e2e"/>
                      <w:sz w:val="21"/>
                      <w:szCs w:val="21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2e2e2e"/>
                      <w:sz w:val="21"/>
                      <w:szCs w:val="21"/>
                      <w:u w:val="none"/>
                      <w:shd w:fill="auto" w:val="clear"/>
                      <w:vertAlign w:val="baseline"/>
                      <w:rtl w:val="0"/>
                    </w:rPr>
                    <w:t xml:space="preserve"> </w:t>
                  </w:r>
                </w:p>
                <w:p w:rsidR="00000000" w:rsidDel="00000000" w:rsidP="00000000" w:rsidRDefault="00000000" w:rsidRPr="00000000" w14:paraId="00000029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right"/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2e2e2e"/>
                      <w:sz w:val="21"/>
                      <w:szCs w:val="21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2e2e2e"/>
                      <w:sz w:val="21"/>
                      <w:szCs w:val="21"/>
                      <w:u w:val="none"/>
                      <w:shd w:fill="auto" w:val="clear"/>
                      <w:vertAlign w:val="baseline"/>
                      <w:rtl w:val="0"/>
                    </w:rPr>
                    <w:t xml:space="preserve">#213/1760</w:t>
                  </w:r>
                </w:p>
              </w:tc>
              <w:tc>
                <w:tcPr>
                  <w:tcBorders>
                    <w:top w:color="000000" w:space="0" w:sz="0" w:val="nil"/>
                    <w:left w:color="000000" w:space="0" w:sz="0" w:val="nil"/>
                    <w:bottom w:color="000000" w:space="0" w:sz="0" w:val="nil"/>
                    <w:right w:color="000000" w:space="0" w:sz="0" w:val="nil"/>
                  </w:tcBorders>
                  <w:shd w:fill="ffffff" w:val="clear"/>
                  <w:vAlign w:val="top"/>
                </w:tcPr>
                <w:p w:rsidR="00000000" w:rsidDel="00000000" w:rsidP="00000000" w:rsidRDefault="00000000" w:rsidRPr="00000000" w14:paraId="0000002A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2e2e2e"/>
                      <w:sz w:val="21"/>
                      <w:szCs w:val="21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2e2e2e"/>
                      <w:sz w:val="21"/>
                      <w:szCs w:val="21"/>
                      <w:u w:val="none"/>
                      <w:shd w:fill="auto" w:val="clear"/>
                      <w:vertAlign w:val="baseline"/>
                      <w:rtl w:val="0"/>
                    </w:rPr>
                    <w:t xml:space="preserve"> </w:t>
                  </w:r>
                </w:p>
                <w:p w:rsidR="00000000" w:rsidDel="00000000" w:rsidP="00000000" w:rsidRDefault="00000000" w:rsidRPr="00000000" w14:paraId="0000002B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0056d6" w:val="clear"/>
                    <w:spacing w:after="0" w:before="0" w:line="276" w:lineRule="auto"/>
                    <w:ind w:left="0" w:right="0" w:firstLine="0"/>
                    <w:jc w:val="center"/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ffffff"/>
                      <w:sz w:val="18"/>
                      <w:szCs w:val="1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ffffff"/>
                      <w:sz w:val="18"/>
                      <w:szCs w:val="18"/>
                      <w:u w:val="none"/>
                      <w:shd w:fill="auto" w:val="clear"/>
                      <w:vertAlign w:val="baseline"/>
                      <w:rtl w:val="0"/>
                    </w:rPr>
                    <w:t xml:space="preserve"> </w:t>
                  </w:r>
                </w:p>
                <w:p w:rsidR="00000000" w:rsidDel="00000000" w:rsidP="00000000" w:rsidRDefault="00000000" w:rsidRPr="00000000" w14:paraId="0000002C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2e2e2e"/>
                      <w:sz w:val="21"/>
                      <w:szCs w:val="21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2e2e2e"/>
                      <w:sz w:val="21"/>
                      <w:szCs w:val="21"/>
                      <w:u w:val="none"/>
                      <w:shd w:fill="auto" w:val="clear"/>
                      <w:vertAlign w:val="baseline"/>
                      <w:rtl w:val="0"/>
                    </w:rPr>
                    <w:t xml:space="preserve">87-й</w:t>
                  </w:r>
                </w:p>
              </w:tc>
            </w:tr>
            <w:tr>
              <w:trPr>
                <w:cantSplit w:val="0"/>
                <w:trHeight w:val="1377" w:hRule="atLeast"/>
                <w:tblHeader w:val="0"/>
              </w:trPr>
              <w:tc>
                <w:tcPr>
                  <w:tcBorders>
                    <w:top w:color="000000" w:space="0" w:sz="0" w:val="nil"/>
                    <w:left w:color="000000" w:space="0" w:sz="0" w:val="nil"/>
                    <w:bottom w:color="000000" w:space="0" w:sz="0" w:val="nil"/>
                    <w:right w:color="000000" w:space="0" w:sz="0" w:val="nil"/>
                  </w:tcBorders>
                  <w:shd w:fill="ffffff" w:val="clear"/>
                  <w:vAlign w:val="top"/>
                </w:tcPr>
                <w:p w:rsidR="00000000" w:rsidDel="00000000" w:rsidP="00000000" w:rsidRDefault="00000000" w:rsidRPr="00000000" w14:paraId="0000002D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- Social Sciences</w:t>
                  </w:r>
                </w:p>
                <w:p w:rsidR="00000000" w:rsidDel="00000000" w:rsidP="00000000" w:rsidRDefault="00000000" w:rsidRPr="00000000" w14:paraId="0000002E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Political Science </w:t>
                  </w:r>
                </w:p>
                <w:p w:rsidR="00000000" w:rsidDel="00000000" w:rsidP="00000000" w:rsidRDefault="00000000" w:rsidRPr="00000000" w14:paraId="0000002F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and </w:t>
                  </w:r>
                </w:p>
                <w:p w:rsidR="00000000" w:rsidDel="00000000" w:rsidP="00000000" w:rsidRDefault="00000000" w:rsidRPr="00000000" w14:paraId="00000030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International </w:t>
                  </w:r>
                </w:p>
                <w:p w:rsidR="00000000" w:rsidDel="00000000" w:rsidP="00000000" w:rsidRDefault="00000000" w:rsidRPr="00000000" w14:paraId="00000031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Relations - 50</w:t>
                  </w:r>
                </w:p>
              </w:tc>
              <w:tc>
                <w:tcPr>
                  <w:tcBorders>
                    <w:top w:color="000000" w:space="0" w:sz="0" w:val="nil"/>
                    <w:left w:color="000000" w:space="0" w:sz="0" w:val="nil"/>
                    <w:bottom w:color="000000" w:space="0" w:sz="0" w:val="nil"/>
                    <w:right w:color="000000" w:space="0" w:sz="0" w:val="nil"/>
                  </w:tcBorders>
                  <w:shd w:fill="ffffff" w:val="clear"/>
                  <w:vAlign w:val="top"/>
                </w:tcPr>
                <w:p w:rsidR="00000000" w:rsidDel="00000000" w:rsidP="00000000" w:rsidRDefault="00000000" w:rsidRPr="00000000" w14:paraId="00000032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right"/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2e2e2e"/>
                      <w:sz w:val="21"/>
                      <w:szCs w:val="21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2e2e2e"/>
                      <w:sz w:val="21"/>
                      <w:szCs w:val="21"/>
                      <w:u w:val="none"/>
                      <w:shd w:fill="auto" w:val="clear"/>
                      <w:vertAlign w:val="baseline"/>
                      <w:rtl w:val="0"/>
                    </w:rPr>
                    <w:t xml:space="preserve"> </w:t>
                  </w:r>
                </w:p>
                <w:p w:rsidR="00000000" w:rsidDel="00000000" w:rsidP="00000000" w:rsidRDefault="00000000" w:rsidRPr="00000000" w14:paraId="00000033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right"/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2e2e2e"/>
                      <w:sz w:val="21"/>
                      <w:szCs w:val="21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2e2e2e"/>
                      <w:sz w:val="21"/>
                      <w:szCs w:val="21"/>
                      <w:u w:val="none"/>
                      <w:shd w:fill="auto" w:val="clear"/>
                      <w:vertAlign w:val="baseline"/>
                      <w:rtl w:val="0"/>
                    </w:rPr>
                    <w:t xml:space="preserve">#349/706</w:t>
                  </w:r>
                </w:p>
              </w:tc>
              <w:tc>
                <w:tcPr>
                  <w:tcBorders>
                    <w:top w:color="000000" w:space="0" w:sz="0" w:val="nil"/>
                    <w:left w:color="000000" w:space="0" w:sz="0" w:val="nil"/>
                    <w:bottom w:color="000000" w:space="0" w:sz="0" w:val="nil"/>
                    <w:right w:color="000000" w:space="0" w:sz="0" w:val="nil"/>
                  </w:tcBorders>
                  <w:shd w:fill="ffffff" w:val="clear"/>
                  <w:vAlign w:val="top"/>
                </w:tcPr>
                <w:p w:rsidR="00000000" w:rsidDel="00000000" w:rsidP="00000000" w:rsidRDefault="00000000" w:rsidRPr="00000000" w14:paraId="00000034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2e2e2e"/>
                      <w:sz w:val="21"/>
                      <w:szCs w:val="21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2e2e2e"/>
                      <w:sz w:val="21"/>
                      <w:szCs w:val="21"/>
                      <w:u w:val="none"/>
                      <w:shd w:fill="auto" w:val="clear"/>
                      <w:vertAlign w:val="baseline"/>
                      <w:rtl w:val="0"/>
                    </w:rPr>
                    <w:t xml:space="preserve"> </w:t>
                  </w:r>
                </w:p>
                <w:p w:rsidR="00000000" w:rsidDel="00000000" w:rsidP="00000000" w:rsidRDefault="00000000" w:rsidRPr="00000000" w14:paraId="00000035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0056d6" w:val="clear"/>
                    <w:spacing w:after="0" w:before="0" w:line="276" w:lineRule="auto"/>
                    <w:ind w:left="0" w:right="0" w:firstLine="0"/>
                    <w:jc w:val="center"/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ffffff"/>
                      <w:sz w:val="18"/>
                      <w:szCs w:val="1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ffffff"/>
                      <w:sz w:val="18"/>
                      <w:szCs w:val="18"/>
                      <w:u w:val="none"/>
                      <w:shd w:fill="auto" w:val="clear"/>
                      <w:vertAlign w:val="baseline"/>
                      <w:rtl w:val="0"/>
                    </w:rPr>
                    <w:t xml:space="preserve"> </w:t>
                  </w:r>
                </w:p>
                <w:p w:rsidR="00000000" w:rsidDel="00000000" w:rsidP="00000000" w:rsidRDefault="00000000" w:rsidRPr="00000000" w14:paraId="00000036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2e2e2e"/>
                      <w:sz w:val="21"/>
                      <w:szCs w:val="21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2e2e2e"/>
                      <w:sz w:val="21"/>
                      <w:szCs w:val="21"/>
                      <w:u w:val="none"/>
                      <w:shd w:fill="auto" w:val="clear"/>
                      <w:vertAlign w:val="baseline"/>
                      <w:rtl w:val="0"/>
                    </w:rPr>
                    <w:t xml:space="preserve">50-й</w:t>
                  </w:r>
                </w:p>
              </w:tc>
            </w:tr>
          </w:tbl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0" w:right="112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766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Kapyshev, Ardak K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,</w:t>
            </w:r>
          </w:p>
          <w:p w:rsidR="00000000" w:rsidDel="00000000" w:rsidP="00000000" w:rsidRDefault="00000000" w:rsidRPr="00000000" w14:paraId="000000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766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Igor R. Prokhorov, </w:t>
            </w:r>
          </w:p>
          <w:p w:rsidR="00000000" w:rsidDel="00000000" w:rsidP="00000000" w:rsidRDefault="00000000" w:rsidRPr="00000000" w14:paraId="000000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766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Bakhytgul T. Tuleuova, </w:t>
            </w:r>
          </w:p>
          <w:p w:rsidR="00000000" w:rsidDel="00000000" w:rsidP="00000000" w:rsidRDefault="00000000" w:rsidRPr="00000000" w14:paraId="000000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0" w:right="112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Farkhat R. Lebayev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0" w:right="111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Бірінші автор</w:t>
            </w:r>
          </w:p>
        </w:tc>
      </w:tr>
      <w:tr>
        <w:trPr>
          <w:cantSplit w:val="0"/>
          <w:trHeight w:val="29" w:hRule="atLeast"/>
          <w:tblHeader w:val="0"/>
        </w:trPr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" w:before="0" w:line="276" w:lineRule="auto"/>
              <w:ind w:left="2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3E">
            <w:pPr>
              <w:keepNext w:val="1"/>
              <w:keepLines w:val="1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40" w:lineRule="auto"/>
              <w:ind w:left="0" w:right="37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The Uprising of Kenesara Kasimov in the Historical Discourse of the Russian Military and Researchers of the XIX – early XX centuries</w:t>
            </w:r>
          </w:p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" w:before="0" w:line="276" w:lineRule="auto"/>
              <w:ind w:left="2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Статья 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Published in the USA Bylye Gody Has been issued since 2006. E-ISSN: 2310-0028 2024. 19(4): 1766-1775 </w:t>
            </w:r>
            <w:hyperlink r:id="rId10">
              <w:r w:rsidDel="00000000" w:rsidR="00000000" w:rsidRPr="00000000">
                <w:rPr>
                  <w:rFonts w:ascii="Times New Roman" w:cs="Times New Roman" w:eastAsia="Times New Roman" w:hAnsi="Times New Roman"/>
                  <w:b w:val="0"/>
                  <w:i w:val="0"/>
                  <w:smallCaps w:val="0"/>
                  <w:strike w:val="0"/>
                  <w:color w:val="0000ff"/>
                  <w:sz w:val="24"/>
                  <w:szCs w:val="24"/>
                  <w:u w:val="single"/>
                  <w:shd w:fill="auto" w:val="clear"/>
                  <w:vertAlign w:val="baseline"/>
                  <w:rtl w:val="0"/>
                </w:rPr>
                <w:t xml:space="preserve">https://doi:10.13187/bg.2024.4.1766</w:t>
              </w:r>
            </w:hyperlink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hyperlink r:id="rId11">
              <w:r w:rsidDel="00000000" w:rsidR="00000000" w:rsidRPr="00000000">
                <w:rPr>
                  <w:rFonts w:ascii="Times New Roman" w:cs="Times New Roman" w:eastAsia="Times New Roman" w:hAnsi="Times New Roman"/>
                  <w:b w:val="0"/>
                  <w:i w:val="0"/>
                  <w:smallCaps w:val="0"/>
                  <w:strike w:val="0"/>
                  <w:color w:val="0000ff"/>
                  <w:sz w:val="24"/>
                  <w:szCs w:val="24"/>
                  <w:u w:val="single"/>
                  <w:shd w:fill="auto" w:val="clear"/>
                  <w:vertAlign w:val="baseline"/>
                  <w:rtl w:val="0"/>
                </w:rPr>
                <w:t xml:space="preserve">https://bg.cherkasgu.press/journals_n/1733055758.pdf</w:t>
              </w:r>
            </w:hyperlink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" w:before="0" w:line="276" w:lineRule="auto"/>
              <w:ind w:left="2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-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" w:before="0" w:line="276" w:lineRule="auto"/>
              <w:ind w:left="2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-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0" w:right="112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CiteScore (СайтСкор) –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1,2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0" w:right="112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процентиль за 2023 год по областям науки:  </w:t>
            </w:r>
          </w:p>
          <w:tbl>
            <w:tblPr>
              <w:tblStyle w:val="Table3"/>
              <w:tblW w:w="6458.000000000001" w:type="dxa"/>
              <w:jc w:val="left"/>
              <w:tblLayout w:type="fixed"/>
              <w:tblLook w:val="0000"/>
            </w:tblPr>
            <w:tblGrid>
              <w:gridCol w:w="4755"/>
              <w:gridCol w:w="1182"/>
              <w:gridCol w:w="521"/>
              <w:tblGridChange w:id="0">
                <w:tblGrid>
                  <w:gridCol w:w="4755"/>
                  <w:gridCol w:w="1182"/>
                  <w:gridCol w:w="521"/>
                </w:tblGrid>
              </w:tblGridChange>
            </w:tblGrid>
            <w:tr>
              <w:trPr>
                <w:cantSplit w:val="0"/>
                <w:trHeight w:val="1107" w:hRule="atLeast"/>
                <w:tblHeader w:val="0"/>
              </w:trPr>
              <w:tc>
                <w:tcPr>
                  <w:tcBorders>
                    <w:top w:color="000000" w:space="0" w:sz="0" w:val="nil"/>
                    <w:left w:color="000000" w:space="0" w:sz="0" w:val="nil"/>
                    <w:bottom w:color="000000" w:space="0" w:sz="0" w:val="nil"/>
                    <w:right w:color="000000" w:space="0" w:sz="0" w:val="nil"/>
                  </w:tcBorders>
                  <w:shd w:fill="ffffff" w:val="clear"/>
                  <w:vAlign w:val="top"/>
                </w:tcPr>
                <w:p w:rsidR="00000000" w:rsidDel="00000000" w:rsidP="00000000" w:rsidRDefault="00000000" w:rsidRPr="00000000" w14:paraId="00000048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49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- Arts and </w:t>
                  </w:r>
                </w:p>
                <w:p w:rsidR="00000000" w:rsidDel="00000000" w:rsidP="00000000" w:rsidRDefault="00000000" w:rsidRPr="00000000" w14:paraId="0000004A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Humanities</w:t>
                  </w:r>
                </w:p>
                <w:p w:rsidR="00000000" w:rsidDel="00000000" w:rsidP="00000000" w:rsidRDefault="00000000" w:rsidRPr="00000000" w14:paraId="0000004B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History – </w:t>
                  </w:r>
                  <w:r w:rsidDel="00000000" w:rsidR="00000000" w:rsidRPr="00000000">
                    <w:rPr>
                      <w:rFonts w:ascii="Times New Roman" w:cs="Times New Roman" w:eastAsia="Times New Roman" w:hAnsi="Times New Roman"/>
                      <w:b w:val="1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87.</w:t>
                  </w: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4C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0" w:val="nil"/>
                    <w:left w:color="000000" w:space="0" w:sz="0" w:val="nil"/>
                    <w:bottom w:color="000000" w:space="0" w:sz="0" w:val="nil"/>
                    <w:right w:color="000000" w:space="0" w:sz="0" w:val="nil"/>
                  </w:tcBorders>
                  <w:shd w:fill="ffffff" w:val="clear"/>
                  <w:vAlign w:val="top"/>
                </w:tcPr>
                <w:p w:rsidR="00000000" w:rsidDel="00000000" w:rsidP="00000000" w:rsidRDefault="00000000" w:rsidRPr="00000000" w14:paraId="0000004D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right"/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2e2e2e"/>
                      <w:sz w:val="21"/>
                      <w:szCs w:val="21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2e2e2e"/>
                      <w:sz w:val="21"/>
                      <w:szCs w:val="21"/>
                      <w:u w:val="none"/>
                      <w:shd w:fill="auto" w:val="clear"/>
                      <w:vertAlign w:val="baseline"/>
                      <w:rtl w:val="0"/>
                    </w:rPr>
                    <w:t xml:space="preserve"> </w:t>
                  </w:r>
                </w:p>
                <w:p w:rsidR="00000000" w:rsidDel="00000000" w:rsidP="00000000" w:rsidRDefault="00000000" w:rsidRPr="00000000" w14:paraId="0000004E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right"/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2e2e2e"/>
                      <w:sz w:val="21"/>
                      <w:szCs w:val="21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2e2e2e"/>
                      <w:sz w:val="21"/>
                      <w:szCs w:val="21"/>
                      <w:u w:val="none"/>
                      <w:shd w:fill="auto" w:val="clear"/>
                      <w:vertAlign w:val="baseline"/>
                      <w:rtl w:val="0"/>
                    </w:rPr>
                    <w:t xml:space="preserve">#213/1760</w:t>
                  </w:r>
                </w:p>
              </w:tc>
              <w:tc>
                <w:tcPr>
                  <w:tcBorders>
                    <w:top w:color="000000" w:space="0" w:sz="0" w:val="nil"/>
                    <w:left w:color="000000" w:space="0" w:sz="0" w:val="nil"/>
                    <w:bottom w:color="000000" w:space="0" w:sz="0" w:val="nil"/>
                    <w:right w:color="000000" w:space="0" w:sz="0" w:val="nil"/>
                  </w:tcBorders>
                  <w:shd w:fill="ffffff" w:val="clear"/>
                  <w:vAlign w:val="top"/>
                </w:tcPr>
                <w:p w:rsidR="00000000" w:rsidDel="00000000" w:rsidP="00000000" w:rsidRDefault="00000000" w:rsidRPr="00000000" w14:paraId="0000004F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2e2e2e"/>
                      <w:sz w:val="21"/>
                      <w:szCs w:val="21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2e2e2e"/>
                      <w:sz w:val="21"/>
                      <w:szCs w:val="21"/>
                      <w:u w:val="none"/>
                      <w:shd w:fill="auto" w:val="clear"/>
                      <w:vertAlign w:val="baseline"/>
                      <w:rtl w:val="0"/>
                    </w:rPr>
                    <w:t xml:space="preserve"> </w:t>
                  </w:r>
                </w:p>
                <w:p w:rsidR="00000000" w:rsidDel="00000000" w:rsidP="00000000" w:rsidRDefault="00000000" w:rsidRPr="00000000" w14:paraId="00000050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0056d6" w:val="clear"/>
                    <w:spacing w:after="0" w:before="0" w:line="276" w:lineRule="auto"/>
                    <w:ind w:left="0" w:right="0" w:firstLine="0"/>
                    <w:jc w:val="center"/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ffffff"/>
                      <w:sz w:val="18"/>
                      <w:szCs w:val="1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ffffff"/>
                      <w:sz w:val="18"/>
                      <w:szCs w:val="18"/>
                      <w:u w:val="none"/>
                      <w:shd w:fill="auto" w:val="clear"/>
                      <w:vertAlign w:val="baseline"/>
                      <w:rtl w:val="0"/>
                    </w:rPr>
                    <w:t xml:space="preserve"> </w:t>
                  </w:r>
                </w:p>
                <w:p w:rsidR="00000000" w:rsidDel="00000000" w:rsidP="00000000" w:rsidRDefault="00000000" w:rsidRPr="00000000" w14:paraId="00000051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2e2e2e"/>
                      <w:sz w:val="21"/>
                      <w:szCs w:val="21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2e2e2e"/>
                      <w:sz w:val="21"/>
                      <w:szCs w:val="21"/>
                      <w:u w:val="none"/>
                      <w:shd w:fill="auto" w:val="clear"/>
                      <w:vertAlign w:val="baseline"/>
                      <w:rtl w:val="0"/>
                    </w:rPr>
                    <w:t xml:space="preserve">87-й</w:t>
                  </w:r>
                </w:p>
              </w:tc>
            </w:tr>
            <w:tr>
              <w:trPr>
                <w:cantSplit w:val="0"/>
                <w:trHeight w:val="1377" w:hRule="atLeast"/>
                <w:tblHeader w:val="0"/>
              </w:trPr>
              <w:tc>
                <w:tcPr>
                  <w:tcBorders>
                    <w:top w:color="000000" w:space="0" w:sz="0" w:val="nil"/>
                    <w:left w:color="000000" w:space="0" w:sz="0" w:val="nil"/>
                    <w:bottom w:color="000000" w:space="0" w:sz="0" w:val="nil"/>
                    <w:right w:color="000000" w:space="0" w:sz="0" w:val="nil"/>
                  </w:tcBorders>
                  <w:shd w:fill="ffffff" w:val="clear"/>
                  <w:vAlign w:val="top"/>
                </w:tcPr>
                <w:p w:rsidR="00000000" w:rsidDel="00000000" w:rsidP="00000000" w:rsidRDefault="00000000" w:rsidRPr="00000000" w14:paraId="00000052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- Social Sciences</w:t>
                  </w:r>
                </w:p>
                <w:p w:rsidR="00000000" w:rsidDel="00000000" w:rsidP="00000000" w:rsidRDefault="00000000" w:rsidRPr="00000000" w14:paraId="00000053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Political Science </w:t>
                  </w:r>
                </w:p>
                <w:p w:rsidR="00000000" w:rsidDel="00000000" w:rsidP="00000000" w:rsidRDefault="00000000" w:rsidRPr="00000000" w14:paraId="00000054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and </w:t>
                  </w:r>
                </w:p>
                <w:p w:rsidR="00000000" w:rsidDel="00000000" w:rsidP="00000000" w:rsidRDefault="00000000" w:rsidRPr="00000000" w14:paraId="00000055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International </w:t>
                  </w:r>
                </w:p>
                <w:p w:rsidR="00000000" w:rsidDel="00000000" w:rsidP="00000000" w:rsidRDefault="00000000" w:rsidRPr="00000000" w14:paraId="00000056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Relations - </w:t>
                  </w:r>
                  <w:r w:rsidDel="00000000" w:rsidR="00000000" w:rsidRPr="00000000">
                    <w:rPr>
                      <w:rFonts w:ascii="Times New Roman" w:cs="Times New Roman" w:eastAsia="Times New Roman" w:hAnsi="Times New Roman"/>
                      <w:b w:val="1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50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0" w:val="nil"/>
                    <w:left w:color="000000" w:space="0" w:sz="0" w:val="nil"/>
                    <w:bottom w:color="000000" w:space="0" w:sz="0" w:val="nil"/>
                    <w:right w:color="000000" w:space="0" w:sz="0" w:val="nil"/>
                  </w:tcBorders>
                  <w:shd w:fill="ffffff" w:val="clear"/>
                  <w:vAlign w:val="top"/>
                </w:tcPr>
                <w:p w:rsidR="00000000" w:rsidDel="00000000" w:rsidP="00000000" w:rsidRDefault="00000000" w:rsidRPr="00000000" w14:paraId="00000057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right"/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2e2e2e"/>
                      <w:sz w:val="21"/>
                      <w:szCs w:val="21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2e2e2e"/>
                      <w:sz w:val="21"/>
                      <w:szCs w:val="21"/>
                      <w:u w:val="none"/>
                      <w:shd w:fill="auto" w:val="clear"/>
                      <w:vertAlign w:val="baseline"/>
                      <w:rtl w:val="0"/>
                    </w:rPr>
                    <w:t xml:space="preserve"> </w:t>
                  </w:r>
                </w:p>
                <w:p w:rsidR="00000000" w:rsidDel="00000000" w:rsidP="00000000" w:rsidRDefault="00000000" w:rsidRPr="00000000" w14:paraId="00000058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right"/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2e2e2e"/>
                      <w:sz w:val="21"/>
                      <w:szCs w:val="21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2e2e2e"/>
                      <w:sz w:val="21"/>
                      <w:szCs w:val="21"/>
                      <w:u w:val="none"/>
                      <w:shd w:fill="auto" w:val="clear"/>
                      <w:vertAlign w:val="baseline"/>
                      <w:rtl w:val="0"/>
                    </w:rPr>
                    <w:t xml:space="preserve">#349/706</w:t>
                  </w:r>
                </w:p>
              </w:tc>
              <w:tc>
                <w:tcPr>
                  <w:tcBorders>
                    <w:top w:color="000000" w:space="0" w:sz="0" w:val="nil"/>
                    <w:left w:color="000000" w:space="0" w:sz="0" w:val="nil"/>
                    <w:bottom w:color="000000" w:space="0" w:sz="0" w:val="nil"/>
                    <w:right w:color="000000" w:space="0" w:sz="0" w:val="nil"/>
                  </w:tcBorders>
                  <w:shd w:fill="ffffff" w:val="clear"/>
                  <w:vAlign w:val="top"/>
                </w:tcPr>
                <w:p w:rsidR="00000000" w:rsidDel="00000000" w:rsidP="00000000" w:rsidRDefault="00000000" w:rsidRPr="00000000" w14:paraId="00000059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2e2e2e"/>
                      <w:sz w:val="21"/>
                      <w:szCs w:val="21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2e2e2e"/>
                      <w:sz w:val="21"/>
                      <w:szCs w:val="21"/>
                      <w:u w:val="none"/>
                      <w:shd w:fill="auto" w:val="clear"/>
                      <w:vertAlign w:val="baseline"/>
                      <w:rtl w:val="0"/>
                    </w:rPr>
                    <w:t xml:space="preserve"> </w:t>
                  </w:r>
                </w:p>
                <w:p w:rsidR="00000000" w:rsidDel="00000000" w:rsidP="00000000" w:rsidRDefault="00000000" w:rsidRPr="00000000" w14:paraId="0000005A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0056d6" w:val="clear"/>
                    <w:spacing w:after="0" w:before="0" w:line="276" w:lineRule="auto"/>
                    <w:ind w:left="0" w:right="0" w:firstLine="0"/>
                    <w:jc w:val="center"/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ffffff"/>
                      <w:sz w:val="18"/>
                      <w:szCs w:val="1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ffffff"/>
                      <w:sz w:val="18"/>
                      <w:szCs w:val="18"/>
                      <w:u w:val="none"/>
                      <w:shd w:fill="auto" w:val="clear"/>
                      <w:vertAlign w:val="baseline"/>
                      <w:rtl w:val="0"/>
                    </w:rPr>
                    <w:t xml:space="preserve"> </w:t>
                  </w:r>
                </w:p>
                <w:p w:rsidR="00000000" w:rsidDel="00000000" w:rsidP="00000000" w:rsidRDefault="00000000" w:rsidRPr="00000000" w14:paraId="0000005B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2e2e2e"/>
                      <w:sz w:val="21"/>
                      <w:szCs w:val="21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2e2e2e"/>
                      <w:sz w:val="21"/>
                      <w:szCs w:val="21"/>
                      <w:u w:val="none"/>
                      <w:shd w:fill="auto" w:val="clear"/>
                      <w:vertAlign w:val="baseline"/>
                      <w:rtl w:val="0"/>
                    </w:rPr>
                    <w:t xml:space="preserve">50-й</w:t>
                  </w:r>
                </w:p>
              </w:tc>
            </w:tr>
          </w:tbl>
          <w:p w:rsidR="00000000" w:rsidDel="00000000" w:rsidP="00000000" w:rsidRDefault="00000000" w:rsidRPr="00000000" w14:paraId="000000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" w:before="0" w:line="276" w:lineRule="auto"/>
              <w:ind w:left="20" w:right="112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766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Kapyshev, Ardak K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,</w:t>
            </w:r>
          </w:p>
          <w:p w:rsidR="00000000" w:rsidDel="00000000" w:rsidP="00000000" w:rsidRDefault="00000000" w:rsidRPr="00000000" w14:paraId="000000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766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Igor R. Prokhorov, </w:t>
            </w:r>
          </w:p>
          <w:p w:rsidR="00000000" w:rsidDel="00000000" w:rsidP="00000000" w:rsidRDefault="00000000" w:rsidRPr="00000000" w14:paraId="000000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" w:before="0" w:line="276" w:lineRule="auto"/>
              <w:ind w:left="20" w:right="112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Anna I. Svinarchuk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" w:before="0" w:line="276" w:lineRule="auto"/>
              <w:ind w:left="20" w:right="111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Бірінші автор</w:t>
            </w:r>
          </w:p>
        </w:tc>
      </w:tr>
    </w:tbl>
    <w:p w:rsidR="00000000" w:rsidDel="00000000" w:rsidP="00000000" w:rsidRDefault="00000000" w:rsidRPr="00000000" w14:paraId="0000006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  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Автор: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 xml:space="preserve">т.ғ.к. А.К. Капышев</w:t>
        <w:tab/>
        <w:tab/>
        <w:tab/>
        <w:t xml:space="preserve">Ғылыми хатшы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: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 xml:space="preserve">                   ф.ғ.к., қауым.профессор Г.Т. Тлеубердина</w:t>
      </w:r>
    </w:p>
    <w:p w:rsidR="00000000" w:rsidDel="00000000" w:rsidP="00000000" w:rsidRDefault="00000000" w:rsidRPr="00000000" w14:paraId="0000006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     </w:t>
      </w:r>
    </w:p>
    <w:sectPr>
      <w:headerReference r:id="rId12" w:type="default"/>
      <w:pgSz w:h="11906" w:w="16838" w:orient="landscape"/>
      <w:pgMar w:bottom="850" w:top="993" w:left="1134" w:right="1134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Times New Roman"/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64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65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lang w:val="kk-KZ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hyperlink" Target="https://bg.cherkasgu.press/journals_n/1733055758.pdf" TargetMode="External"/><Relationship Id="rId10" Type="http://schemas.openxmlformats.org/officeDocument/2006/relationships/hyperlink" Target="about:blank" TargetMode="External"/><Relationship Id="rId12" Type="http://schemas.openxmlformats.org/officeDocument/2006/relationships/header" Target="header1.xml"/><Relationship Id="rId9" Type="http://schemas.openxmlformats.org/officeDocument/2006/relationships/hyperlink" Target="https://bg.cherkasgu.press/journals_n/1717235708.pdf" TargetMode="External"/><Relationship Id="rId5" Type="http://schemas.openxmlformats.org/officeDocument/2006/relationships/styles" Target="styles.xml"/><Relationship Id="rId6" Type="http://schemas.openxmlformats.org/officeDocument/2006/relationships/hyperlink" Target="https://www.scopus.com/authid/detail.uri?authorId=56127997800" TargetMode="External"/><Relationship Id="rId7" Type="http://schemas.openxmlformats.org/officeDocument/2006/relationships/hyperlink" Target="https://orcid.org/0000-0002-0561-7953" TargetMode="External"/><Relationship Id="rId8" Type="http://schemas.openxmlformats.org/officeDocument/2006/relationships/hyperlink" Target="about:blan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